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3C0" w:rsidRPr="004C03C0" w:rsidRDefault="004C03C0" w:rsidP="004C03C0">
      <w:pPr>
        <w:spacing w:after="160" w:line="259" w:lineRule="auto"/>
        <w:jc w:val="center"/>
        <w:rPr>
          <w:rFonts w:ascii="Calibri" w:eastAsia="Calibri" w:hAnsi="Calibri" w:cs="Calibri"/>
          <w:b/>
          <w:sz w:val="22"/>
          <w:szCs w:val="22"/>
        </w:rPr>
      </w:pPr>
      <w:bookmarkStart w:id="0" w:name="_GoBack"/>
      <w:bookmarkEnd w:id="0"/>
      <w:r w:rsidRPr="004C03C0">
        <w:rPr>
          <w:rFonts w:ascii="Calibri" w:eastAsia="Calibri" w:hAnsi="Calibri" w:cs="Calibri"/>
          <w:b/>
          <w:sz w:val="22"/>
          <w:szCs w:val="22"/>
        </w:rPr>
        <w:t>Golden Physicians Medical Group Announcement: New Aetna Medicare Advantage Contract</w:t>
      </w:r>
    </w:p>
    <w:p w:rsidR="004C03C0" w:rsidRPr="004C03C0" w:rsidRDefault="004C03C0" w:rsidP="004C03C0">
      <w:pPr>
        <w:spacing w:after="160" w:line="259" w:lineRule="auto"/>
        <w:rPr>
          <w:rFonts w:ascii="Calibri" w:eastAsia="Calibri" w:hAnsi="Calibri" w:cs="Times New Roman"/>
          <w:sz w:val="22"/>
          <w:szCs w:val="22"/>
        </w:rPr>
      </w:pPr>
      <w:r w:rsidRPr="004C03C0">
        <w:rPr>
          <w:rFonts w:ascii="Calibri" w:eastAsia="Calibri" w:hAnsi="Calibri" w:cs="Times New Roman"/>
          <w:sz w:val="22"/>
          <w:szCs w:val="22"/>
        </w:rPr>
        <w:t xml:space="preserve">Golden Physicians Medical Group is excited to announce a new partnership with Aetna Medicare Solutions. </w:t>
      </w:r>
      <w:r w:rsidRPr="004C03C0">
        <w:rPr>
          <w:rFonts w:ascii="Calibri" w:eastAsia="Calibri" w:hAnsi="Calibri" w:cs="Times New Roman"/>
          <w:b/>
          <w:sz w:val="22"/>
          <w:szCs w:val="22"/>
        </w:rPr>
        <w:t>Effective October 1, 2024</w:t>
      </w:r>
      <w:r w:rsidRPr="004C03C0">
        <w:rPr>
          <w:rFonts w:ascii="Calibri" w:eastAsia="Calibri" w:hAnsi="Calibri" w:cs="Times New Roman"/>
          <w:sz w:val="22"/>
          <w:szCs w:val="22"/>
        </w:rPr>
        <w:t xml:space="preserve">, Golden Physicians Medical Group will offer </w:t>
      </w:r>
      <w:r w:rsidRPr="004C03C0">
        <w:rPr>
          <w:rFonts w:ascii="Calibri" w:eastAsia="Calibri" w:hAnsi="Calibri" w:cs="Times New Roman"/>
          <w:b/>
          <w:sz w:val="22"/>
          <w:szCs w:val="22"/>
        </w:rPr>
        <w:t>Aetna Medicare Advantage health plans</w:t>
      </w:r>
      <w:r w:rsidRPr="004C03C0">
        <w:rPr>
          <w:rFonts w:ascii="Calibri" w:eastAsia="Calibri" w:hAnsi="Calibri" w:cs="Times New Roman"/>
          <w:sz w:val="22"/>
          <w:szCs w:val="22"/>
        </w:rPr>
        <w:t>, further expanding our portfolio of health plan options for brokers and their clients.</w:t>
      </w:r>
    </w:p>
    <w:p w:rsidR="004C03C0" w:rsidRPr="004C03C0" w:rsidRDefault="004C03C0" w:rsidP="004C03C0">
      <w:pPr>
        <w:spacing w:after="160" w:line="259" w:lineRule="auto"/>
        <w:rPr>
          <w:rFonts w:ascii="Calibri" w:eastAsia="Calibri" w:hAnsi="Calibri" w:cs="Times New Roman"/>
          <w:sz w:val="22"/>
          <w:szCs w:val="22"/>
        </w:rPr>
      </w:pPr>
      <w:r w:rsidRPr="004C03C0">
        <w:rPr>
          <w:rFonts w:ascii="Calibri" w:eastAsia="Calibri" w:hAnsi="Calibri" w:cs="Times New Roman"/>
          <w:sz w:val="22"/>
          <w:szCs w:val="22"/>
        </w:rPr>
        <w:t xml:space="preserve">Dr. </w:t>
      </w:r>
      <w:proofErr w:type="spellStart"/>
      <w:r w:rsidRPr="004C03C0">
        <w:rPr>
          <w:rFonts w:ascii="Calibri" w:eastAsia="Calibri" w:hAnsi="Calibri" w:cs="Times New Roman"/>
          <w:sz w:val="22"/>
          <w:szCs w:val="22"/>
        </w:rPr>
        <w:t>Dat</w:t>
      </w:r>
      <w:proofErr w:type="spellEnd"/>
      <w:r w:rsidRPr="004C03C0">
        <w:rPr>
          <w:rFonts w:ascii="Calibri" w:eastAsia="Calibri" w:hAnsi="Calibri" w:cs="Times New Roman"/>
          <w:sz w:val="22"/>
          <w:szCs w:val="22"/>
        </w:rPr>
        <w:t xml:space="preserve"> Nguyen, President and Chairman of the Board of Golden Physicians Medical Group, shared his thoughts on this development:</w:t>
      </w:r>
    </w:p>
    <w:p w:rsidR="004C03C0" w:rsidRPr="004C03C0" w:rsidRDefault="004C03C0" w:rsidP="004C03C0">
      <w:pPr>
        <w:spacing w:after="160" w:line="259" w:lineRule="auto"/>
        <w:ind w:left="720"/>
        <w:rPr>
          <w:rFonts w:ascii="Calibri" w:eastAsia="Calibri" w:hAnsi="Calibri" w:cs="Times New Roman"/>
          <w:sz w:val="22"/>
          <w:szCs w:val="22"/>
        </w:rPr>
      </w:pPr>
      <w:r w:rsidRPr="004C03C0">
        <w:rPr>
          <w:rFonts w:ascii="Calibri" w:eastAsia="Calibri" w:hAnsi="Calibri" w:cs="Times New Roman"/>
          <w:sz w:val="22"/>
          <w:szCs w:val="22"/>
        </w:rPr>
        <w:t>“We are pleased to announce the development of a Medicare Advantage contract with Aetna Network Services, a subsidiary of the CVS Health Company. Aetna has a recognized and trusted brand name, and they offer products and services that will benefit our unique communities. With the financial support of a Fortune 500 company, we believe Aetna will be in San Diego County for many years to come, partnering with Golden Physicians Medical Group.”</w:t>
      </w:r>
    </w:p>
    <w:p w:rsidR="004C03C0" w:rsidRPr="004C03C0" w:rsidRDefault="004C03C0" w:rsidP="004C03C0">
      <w:pPr>
        <w:spacing w:after="160" w:line="259" w:lineRule="auto"/>
        <w:rPr>
          <w:rFonts w:ascii="Calibri" w:eastAsia="Calibri" w:hAnsi="Calibri" w:cs="Times New Roman"/>
          <w:sz w:val="22"/>
          <w:szCs w:val="22"/>
        </w:rPr>
      </w:pPr>
      <w:r w:rsidRPr="004C03C0">
        <w:rPr>
          <w:rFonts w:ascii="Calibri" w:eastAsia="Calibri" w:hAnsi="Calibri" w:cs="Times New Roman"/>
          <w:sz w:val="22"/>
          <w:szCs w:val="22"/>
        </w:rPr>
        <w:t>This new contract gives brokers the opportunity to offer Aetna’s comprehensive, competitive Medicare Advantage health plans to clients. Aetna’s strong national reputation, along with its robust range of medical and dental benefits, makes it a valuable addition to our health plan contract offerings.</w:t>
      </w:r>
    </w:p>
    <w:p w:rsidR="004C03C0" w:rsidRPr="004C03C0" w:rsidRDefault="004C03C0" w:rsidP="004C03C0">
      <w:pPr>
        <w:spacing w:after="160" w:line="259" w:lineRule="auto"/>
        <w:rPr>
          <w:rFonts w:ascii="Calibri" w:eastAsia="Calibri" w:hAnsi="Calibri" w:cs="Times New Roman"/>
          <w:sz w:val="22"/>
          <w:szCs w:val="22"/>
        </w:rPr>
      </w:pPr>
      <w:r w:rsidRPr="004C03C0">
        <w:rPr>
          <w:rFonts w:ascii="Calibri" w:eastAsia="Calibri" w:hAnsi="Calibri" w:cs="Times New Roman"/>
          <w:sz w:val="22"/>
          <w:szCs w:val="22"/>
        </w:rPr>
        <w:t>Paul Hernandez, Executive Director of Golden Physicians Medical Group, emphasized the benefits this partnership brings to brokers:</w:t>
      </w:r>
    </w:p>
    <w:p w:rsidR="004C03C0" w:rsidRPr="004C03C0" w:rsidRDefault="004C03C0" w:rsidP="004C03C0">
      <w:pPr>
        <w:spacing w:after="160" w:line="259" w:lineRule="auto"/>
        <w:ind w:left="720"/>
        <w:rPr>
          <w:rFonts w:ascii="Calibri" w:eastAsia="Calibri" w:hAnsi="Calibri" w:cs="Times New Roman"/>
          <w:sz w:val="22"/>
          <w:szCs w:val="22"/>
        </w:rPr>
      </w:pPr>
      <w:r w:rsidRPr="004C03C0">
        <w:rPr>
          <w:rFonts w:ascii="Calibri" w:eastAsia="Calibri" w:hAnsi="Calibri" w:cs="Times New Roman"/>
          <w:sz w:val="22"/>
          <w:szCs w:val="22"/>
        </w:rPr>
        <w:t>“I’m excited to extend the Aetna Medicare Advantage contract to our physicians, patients, and broker partners. I believe Aetna offers competitive medical and dental benefits, and they are a 4-star Medicare Advantage health plan. As Golden Physicians Medical Group continues to grow, we will seek strategic partnerships to help us achieve our goals of providing high-quality, cost-efficient healthcare to the communities of San Diego County and become the best community-based IPA in San Diego County.”</w:t>
      </w:r>
    </w:p>
    <w:p w:rsidR="004C03C0" w:rsidRPr="004C03C0" w:rsidRDefault="004C03C0" w:rsidP="004C03C0">
      <w:pPr>
        <w:spacing w:after="160" w:line="259" w:lineRule="auto"/>
        <w:rPr>
          <w:rFonts w:ascii="Calibri" w:eastAsia="Calibri" w:hAnsi="Calibri" w:cs="Times New Roman"/>
          <w:sz w:val="22"/>
          <w:szCs w:val="22"/>
        </w:rPr>
      </w:pPr>
      <w:r w:rsidRPr="004C03C0">
        <w:rPr>
          <w:rFonts w:ascii="Calibri" w:eastAsia="Calibri" w:hAnsi="Calibri" w:cs="Times New Roman"/>
          <w:sz w:val="22"/>
          <w:szCs w:val="22"/>
        </w:rPr>
        <w:t>We are confident that this partnership will provide brokers with a competitive edge by offering a recognized and trusted health plan backed by a Fortune 500 company, ensuring stability and growth in the San Diego market.</w:t>
      </w:r>
    </w:p>
    <w:p w:rsidR="004C03C0" w:rsidRPr="004C03C0" w:rsidRDefault="004C03C0" w:rsidP="004C03C0">
      <w:pPr>
        <w:spacing w:after="160" w:line="259" w:lineRule="auto"/>
        <w:rPr>
          <w:rFonts w:ascii="Calibri" w:eastAsia="Calibri" w:hAnsi="Calibri" w:cs="Times New Roman"/>
          <w:sz w:val="22"/>
          <w:szCs w:val="22"/>
        </w:rPr>
      </w:pPr>
      <w:r w:rsidRPr="004C03C0">
        <w:rPr>
          <w:rFonts w:ascii="Calibri" w:eastAsia="Calibri" w:hAnsi="Calibri" w:cs="Times New Roman"/>
          <w:sz w:val="22"/>
          <w:szCs w:val="22"/>
        </w:rPr>
        <w:t>For more information about the Aetna Medicare Advantage contract and how it can benefit your clients, please feel free to reach out, Paul Hernandez (619) 733-5192, or myself, (951) 226-4623. We look forward to working together to provide excellent care and service to your clients in San Diego County.</w:t>
      </w:r>
    </w:p>
    <w:p w:rsidR="004C03C0" w:rsidRPr="004C03C0" w:rsidRDefault="004C03C0" w:rsidP="004C03C0">
      <w:pPr>
        <w:spacing w:after="160" w:line="259" w:lineRule="auto"/>
        <w:rPr>
          <w:rFonts w:ascii="Calibri" w:eastAsia="Calibri" w:hAnsi="Calibri" w:cs="Times New Roman"/>
          <w:sz w:val="22"/>
          <w:szCs w:val="22"/>
        </w:rPr>
      </w:pPr>
      <w:r w:rsidRPr="004C03C0">
        <w:rPr>
          <w:rFonts w:ascii="Calibri" w:eastAsia="Calibri" w:hAnsi="Calibri" w:cs="Times New Roman"/>
          <w:sz w:val="22"/>
          <w:szCs w:val="22"/>
        </w:rPr>
        <w:t xml:space="preserve">Sincerely,  </w:t>
      </w:r>
    </w:p>
    <w:p w:rsidR="004C03C0" w:rsidRDefault="004C03C0" w:rsidP="004C03C0">
      <w:pPr>
        <w:spacing w:after="160" w:line="259" w:lineRule="auto"/>
        <w:rPr>
          <w:rFonts w:ascii="Calibri" w:eastAsia="Calibri" w:hAnsi="Calibri" w:cs="Times New Roman"/>
          <w:sz w:val="22"/>
          <w:szCs w:val="22"/>
        </w:rPr>
      </w:pPr>
      <w:r w:rsidRPr="004C03C0">
        <w:rPr>
          <w:rFonts w:ascii="Calibri" w:eastAsia="Calibri" w:hAnsi="Calibri" w:cs="Times New Roman"/>
          <w:sz w:val="22"/>
          <w:szCs w:val="22"/>
        </w:rPr>
        <w:t>Nicolina Alves</w:t>
      </w:r>
    </w:p>
    <w:p w:rsidR="004C03C0" w:rsidRPr="004C03C0" w:rsidRDefault="004C03C0" w:rsidP="004C03C0">
      <w:pPr>
        <w:spacing w:after="160" w:line="259" w:lineRule="auto"/>
        <w:rPr>
          <w:rFonts w:ascii="Calibri" w:eastAsia="Calibri" w:hAnsi="Calibri" w:cs="Times New Roman"/>
          <w:sz w:val="22"/>
          <w:szCs w:val="22"/>
        </w:rPr>
      </w:pPr>
      <w:r w:rsidRPr="004C03C0">
        <w:rPr>
          <w:rFonts w:ascii="Calibri" w:eastAsia="Calibri" w:hAnsi="Calibri" w:cs="Times New Roman"/>
          <w:sz w:val="22"/>
          <w:szCs w:val="22"/>
        </w:rPr>
        <w:t>Marketing Manager</w:t>
      </w:r>
    </w:p>
    <w:p w:rsidR="00B51DB4" w:rsidRPr="004C03C0" w:rsidRDefault="004C03C0" w:rsidP="004C03C0">
      <w:pPr>
        <w:spacing w:after="160" w:line="259" w:lineRule="auto"/>
        <w:rPr>
          <w:rFonts w:ascii="Calibri" w:eastAsia="Calibri" w:hAnsi="Calibri" w:cs="Times New Roman"/>
          <w:sz w:val="22"/>
          <w:szCs w:val="22"/>
        </w:rPr>
      </w:pPr>
      <w:r w:rsidRPr="004C03C0">
        <w:rPr>
          <w:rFonts w:ascii="Calibri" w:eastAsia="Calibri" w:hAnsi="Calibri" w:cs="Times New Roman"/>
          <w:sz w:val="22"/>
          <w:szCs w:val="22"/>
        </w:rPr>
        <w:t xml:space="preserve">Golden Physicians Medical Group  </w:t>
      </w:r>
    </w:p>
    <w:sectPr w:rsidR="00B51DB4" w:rsidRPr="004C03C0">
      <w:headerReference w:type="default" r:id="rId8"/>
      <w:footerReference w:type="default" r:id="rId9"/>
      <w:pgSz w:w="12240" w:h="15840"/>
      <w:pgMar w:top="2016" w:right="1699" w:bottom="1411" w:left="1699"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42E" w:rsidRDefault="00AF1E00">
      <w:r>
        <w:separator/>
      </w:r>
    </w:p>
  </w:endnote>
  <w:endnote w:type="continuationSeparator" w:id="0">
    <w:p w:rsidR="0057142E" w:rsidRDefault="00AF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42E" w:rsidRDefault="00AF1E00">
    <w:pPr>
      <w:pStyle w:val="NormalWeb"/>
      <w:shd w:val="clear" w:color="auto" w:fill="FFFFFF"/>
      <w:tabs>
        <w:tab w:val="left" w:pos="3510"/>
      </w:tabs>
      <w:spacing w:before="0" w:beforeAutospacing="0" w:after="0" w:afterAutospacing="0"/>
      <w:rPr>
        <w:color w:val="000000"/>
      </w:rPr>
    </w:pPr>
    <w:r>
      <w:rPr>
        <w:rFonts w:ascii="Calibri" w:hAnsi="Calibri" w:cs="Calibri"/>
        <w:color w:val="000000"/>
        <w:sz w:val="22"/>
        <w:szCs w:val="22"/>
      </w:rPr>
      <w:t>PO Box 5166</w:t>
    </w:r>
    <w:r>
      <w:rPr>
        <w:color w:val="000000"/>
      </w:rPr>
      <w:t xml:space="preserve"> </w:t>
    </w:r>
    <w:r>
      <w:rPr>
        <w:rFonts w:ascii="Calibri" w:hAnsi="Calibri" w:cs="Calibri"/>
        <w:color w:val="000000"/>
        <w:sz w:val="22"/>
        <w:szCs w:val="22"/>
      </w:rPr>
      <w:t>Oceanside, CA 92052</w:t>
    </w:r>
    <w:r>
      <w:rPr>
        <w:rFonts w:ascii="Calibri" w:hAnsi="Calibri" w:cs="Calibri"/>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42E" w:rsidRDefault="00AF1E00">
      <w:r>
        <w:separator/>
      </w:r>
    </w:p>
  </w:footnote>
  <w:footnote w:type="continuationSeparator" w:id="0">
    <w:p w:rsidR="0057142E" w:rsidRDefault="00AF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42E" w:rsidRDefault="00AF1E00" w:rsidP="003A305D">
    <w:pPr>
      <w:pStyle w:val="Header"/>
      <w:tabs>
        <w:tab w:val="clear" w:pos="4419"/>
        <w:tab w:val="clear" w:pos="8838"/>
        <w:tab w:val="left" w:pos="4875"/>
      </w:tabs>
    </w:pPr>
    <w:r>
      <w:rPr>
        <w:noProof/>
      </w:rPr>
      <w:drawing>
        <wp:anchor distT="0" distB="0" distL="114300" distR="114300" simplePos="0" relativeHeight="251658240" behindDoc="1" locked="0" layoutInCell="1" allowOverlap="1">
          <wp:simplePos x="0" y="0"/>
          <wp:positionH relativeFrom="column">
            <wp:posOffset>-1069812</wp:posOffset>
          </wp:positionH>
          <wp:positionV relativeFrom="paragraph">
            <wp:posOffset>-448147</wp:posOffset>
          </wp:positionV>
          <wp:extent cx="7770062" cy="10055374"/>
          <wp:effectExtent l="0" t="0" r="2540" b="3175"/>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0062" cy="100553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05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E67BC"/>
    <w:multiLevelType w:val="hybridMultilevel"/>
    <w:tmpl w:val="C65079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3D0D4E23"/>
    <w:multiLevelType w:val="hybridMultilevel"/>
    <w:tmpl w:val="CD4A366E"/>
    <w:lvl w:ilvl="0" w:tplc="85C45206">
      <w:numFmt w:val="bullet"/>
      <w:lvlText w:val=""/>
      <w:lvlJc w:val="left"/>
      <w:pPr>
        <w:ind w:left="3221" w:hanging="360"/>
      </w:pPr>
      <w:rPr>
        <w:rFonts w:ascii="Symbol" w:eastAsia="Symbol" w:hAnsi="Symbol" w:cs="Symbol" w:hint="default"/>
        <w:w w:val="101"/>
        <w:sz w:val="18"/>
        <w:szCs w:val="18"/>
        <w:lang w:val="en-US" w:eastAsia="en-US" w:bidi="en-US"/>
      </w:rPr>
    </w:lvl>
    <w:lvl w:ilvl="1" w:tplc="123A9F42">
      <w:numFmt w:val="bullet"/>
      <w:lvlText w:val="•"/>
      <w:lvlJc w:val="left"/>
      <w:pPr>
        <w:ind w:left="3998" w:hanging="360"/>
      </w:pPr>
      <w:rPr>
        <w:rFonts w:hint="default"/>
        <w:lang w:val="en-US" w:eastAsia="en-US" w:bidi="en-US"/>
      </w:rPr>
    </w:lvl>
    <w:lvl w:ilvl="2" w:tplc="4E6AC820">
      <w:numFmt w:val="bullet"/>
      <w:lvlText w:val="•"/>
      <w:lvlJc w:val="left"/>
      <w:pPr>
        <w:ind w:left="4776" w:hanging="360"/>
      </w:pPr>
      <w:rPr>
        <w:rFonts w:hint="default"/>
        <w:lang w:val="en-US" w:eastAsia="en-US" w:bidi="en-US"/>
      </w:rPr>
    </w:lvl>
    <w:lvl w:ilvl="3" w:tplc="F3602CD2">
      <w:numFmt w:val="bullet"/>
      <w:lvlText w:val="•"/>
      <w:lvlJc w:val="left"/>
      <w:pPr>
        <w:ind w:left="5554" w:hanging="360"/>
      </w:pPr>
      <w:rPr>
        <w:rFonts w:hint="default"/>
        <w:lang w:val="en-US" w:eastAsia="en-US" w:bidi="en-US"/>
      </w:rPr>
    </w:lvl>
    <w:lvl w:ilvl="4" w:tplc="FB0A3DA4">
      <w:numFmt w:val="bullet"/>
      <w:lvlText w:val="•"/>
      <w:lvlJc w:val="left"/>
      <w:pPr>
        <w:ind w:left="6332" w:hanging="360"/>
      </w:pPr>
      <w:rPr>
        <w:rFonts w:hint="default"/>
        <w:lang w:val="en-US" w:eastAsia="en-US" w:bidi="en-US"/>
      </w:rPr>
    </w:lvl>
    <w:lvl w:ilvl="5" w:tplc="38BCE74A">
      <w:numFmt w:val="bullet"/>
      <w:lvlText w:val="•"/>
      <w:lvlJc w:val="left"/>
      <w:pPr>
        <w:ind w:left="7110" w:hanging="360"/>
      </w:pPr>
      <w:rPr>
        <w:rFonts w:hint="default"/>
        <w:lang w:val="en-US" w:eastAsia="en-US" w:bidi="en-US"/>
      </w:rPr>
    </w:lvl>
    <w:lvl w:ilvl="6" w:tplc="8C983A64">
      <w:numFmt w:val="bullet"/>
      <w:lvlText w:val="•"/>
      <w:lvlJc w:val="left"/>
      <w:pPr>
        <w:ind w:left="7888" w:hanging="360"/>
      </w:pPr>
      <w:rPr>
        <w:rFonts w:hint="default"/>
        <w:lang w:val="en-US" w:eastAsia="en-US" w:bidi="en-US"/>
      </w:rPr>
    </w:lvl>
    <w:lvl w:ilvl="7" w:tplc="9CAA9FD6">
      <w:numFmt w:val="bullet"/>
      <w:lvlText w:val="•"/>
      <w:lvlJc w:val="left"/>
      <w:pPr>
        <w:ind w:left="8666" w:hanging="360"/>
      </w:pPr>
      <w:rPr>
        <w:rFonts w:hint="default"/>
        <w:lang w:val="en-US" w:eastAsia="en-US" w:bidi="en-US"/>
      </w:rPr>
    </w:lvl>
    <w:lvl w:ilvl="8" w:tplc="5CBE38AE">
      <w:numFmt w:val="bullet"/>
      <w:lvlText w:val="•"/>
      <w:lvlJc w:val="left"/>
      <w:pPr>
        <w:ind w:left="9444" w:hanging="360"/>
      </w:pPr>
      <w:rPr>
        <w:rFonts w:hint="default"/>
        <w:lang w:val="en-US" w:eastAsia="en-US" w:bidi="en-US"/>
      </w:rPr>
    </w:lvl>
  </w:abstractNum>
  <w:abstractNum w:abstractNumId="2" w15:restartNumberingAfterBreak="0">
    <w:nsid w:val="50D30113"/>
    <w:multiLevelType w:val="hybridMultilevel"/>
    <w:tmpl w:val="CD749960"/>
    <w:lvl w:ilvl="0" w:tplc="828E10CC">
      <w:numFmt w:val="bullet"/>
      <w:lvlText w:val="□"/>
      <w:lvlJc w:val="left"/>
      <w:pPr>
        <w:ind w:left="828" w:hanging="709"/>
      </w:pPr>
      <w:rPr>
        <w:rFonts w:ascii="Calibri" w:eastAsia="Calibri" w:hAnsi="Calibri" w:cs="Calibri" w:hint="default"/>
        <w:spacing w:val="-2"/>
        <w:w w:val="99"/>
        <w:sz w:val="36"/>
        <w:szCs w:val="36"/>
        <w:lang w:val="en-US" w:eastAsia="en-US" w:bidi="en-US"/>
      </w:rPr>
    </w:lvl>
    <w:lvl w:ilvl="1" w:tplc="DA06BBF6">
      <w:numFmt w:val="bullet"/>
      <w:lvlText w:val="•"/>
      <w:lvlJc w:val="left"/>
      <w:pPr>
        <w:ind w:left="1698" w:hanging="709"/>
      </w:pPr>
      <w:rPr>
        <w:rFonts w:hint="default"/>
        <w:lang w:val="en-US" w:eastAsia="en-US" w:bidi="en-US"/>
      </w:rPr>
    </w:lvl>
    <w:lvl w:ilvl="2" w:tplc="4E1CDDFA">
      <w:numFmt w:val="bullet"/>
      <w:lvlText w:val="•"/>
      <w:lvlJc w:val="left"/>
      <w:pPr>
        <w:ind w:left="2576" w:hanging="709"/>
      </w:pPr>
      <w:rPr>
        <w:rFonts w:hint="default"/>
        <w:lang w:val="en-US" w:eastAsia="en-US" w:bidi="en-US"/>
      </w:rPr>
    </w:lvl>
    <w:lvl w:ilvl="3" w:tplc="477827FE">
      <w:numFmt w:val="bullet"/>
      <w:lvlText w:val="•"/>
      <w:lvlJc w:val="left"/>
      <w:pPr>
        <w:ind w:left="3454" w:hanging="709"/>
      </w:pPr>
      <w:rPr>
        <w:rFonts w:hint="default"/>
        <w:lang w:val="en-US" w:eastAsia="en-US" w:bidi="en-US"/>
      </w:rPr>
    </w:lvl>
    <w:lvl w:ilvl="4" w:tplc="A7120206">
      <w:numFmt w:val="bullet"/>
      <w:lvlText w:val="•"/>
      <w:lvlJc w:val="left"/>
      <w:pPr>
        <w:ind w:left="4332" w:hanging="709"/>
      </w:pPr>
      <w:rPr>
        <w:rFonts w:hint="default"/>
        <w:lang w:val="en-US" w:eastAsia="en-US" w:bidi="en-US"/>
      </w:rPr>
    </w:lvl>
    <w:lvl w:ilvl="5" w:tplc="FBC8CB90">
      <w:numFmt w:val="bullet"/>
      <w:lvlText w:val="•"/>
      <w:lvlJc w:val="left"/>
      <w:pPr>
        <w:ind w:left="5210" w:hanging="709"/>
      </w:pPr>
      <w:rPr>
        <w:rFonts w:hint="default"/>
        <w:lang w:val="en-US" w:eastAsia="en-US" w:bidi="en-US"/>
      </w:rPr>
    </w:lvl>
    <w:lvl w:ilvl="6" w:tplc="E88CF7D6">
      <w:numFmt w:val="bullet"/>
      <w:lvlText w:val="•"/>
      <w:lvlJc w:val="left"/>
      <w:pPr>
        <w:ind w:left="6088" w:hanging="709"/>
      </w:pPr>
      <w:rPr>
        <w:rFonts w:hint="default"/>
        <w:lang w:val="en-US" w:eastAsia="en-US" w:bidi="en-US"/>
      </w:rPr>
    </w:lvl>
    <w:lvl w:ilvl="7" w:tplc="7ACE96E8">
      <w:numFmt w:val="bullet"/>
      <w:lvlText w:val="•"/>
      <w:lvlJc w:val="left"/>
      <w:pPr>
        <w:ind w:left="6966" w:hanging="709"/>
      </w:pPr>
      <w:rPr>
        <w:rFonts w:hint="default"/>
        <w:lang w:val="en-US" w:eastAsia="en-US" w:bidi="en-US"/>
      </w:rPr>
    </w:lvl>
    <w:lvl w:ilvl="8" w:tplc="BB949ED0">
      <w:numFmt w:val="bullet"/>
      <w:lvlText w:val="•"/>
      <w:lvlJc w:val="left"/>
      <w:pPr>
        <w:ind w:left="7844" w:hanging="709"/>
      </w:pPr>
      <w:rPr>
        <w:rFonts w:hint="default"/>
        <w:lang w:val="en-US" w:eastAsia="en-US" w:bidi="en-US"/>
      </w:rPr>
    </w:lvl>
  </w:abstractNum>
  <w:abstractNum w:abstractNumId="3" w15:restartNumberingAfterBreak="0">
    <w:nsid w:val="5A577E75"/>
    <w:multiLevelType w:val="hybridMultilevel"/>
    <w:tmpl w:val="C1F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45566"/>
    <w:multiLevelType w:val="hybridMultilevel"/>
    <w:tmpl w:val="DB18C2EA"/>
    <w:lvl w:ilvl="0" w:tplc="46245536">
      <w:start w:val="1"/>
      <w:numFmt w:val="decimal"/>
      <w:lvlText w:val="%1."/>
      <w:lvlJc w:val="left"/>
      <w:pPr>
        <w:ind w:left="4302" w:hanging="360"/>
      </w:pPr>
      <w:rPr>
        <w:rFonts w:ascii="Calibri" w:eastAsia="Calibri" w:hAnsi="Calibri" w:cs="Calibri" w:hint="default"/>
        <w:spacing w:val="-2"/>
        <w:w w:val="101"/>
        <w:sz w:val="18"/>
        <w:szCs w:val="18"/>
        <w:lang w:val="en-US" w:eastAsia="en-US" w:bidi="en-US"/>
      </w:rPr>
    </w:lvl>
    <w:lvl w:ilvl="1" w:tplc="7416CF96">
      <w:numFmt w:val="bullet"/>
      <w:lvlText w:val="•"/>
      <w:lvlJc w:val="left"/>
      <w:pPr>
        <w:ind w:left="4970" w:hanging="360"/>
      </w:pPr>
      <w:rPr>
        <w:rFonts w:hint="default"/>
        <w:lang w:val="en-US" w:eastAsia="en-US" w:bidi="en-US"/>
      </w:rPr>
    </w:lvl>
    <w:lvl w:ilvl="2" w:tplc="5BCE5F32">
      <w:numFmt w:val="bullet"/>
      <w:lvlText w:val="•"/>
      <w:lvlJc w:val="left"/>
      <w:pPr>
        <w:ind w:left="5640" w:hanging="360"/>
      </w:pPr>
      <w:rPr>
        <w:rFonts w:hint="default"/>
        <w:lang w:val="en-US" w:eastAsia="en-US" w:bidi="en-US"/>
      </w:rPr>
    </w:lvl>
    <w:lvl w:ilvl="3" w:tplc="8EB42CC8">
      <w:numFmt w:val="bullet"/>
      <w:lvlText w:val="•"/>
      <w:lvlJc w:val="left"/>
      <w:pPr>
        <w:ind w:left="6310" w:hanging="360"/>
      </w:pPr>
      <w:rPr>
        <w:rFonts w:hint="default"/>
        <w:lang w:val="en-US" w:eastAsia="en-US" w:bidi="en-US"/>
      </w:rPr>
    </w:lvl>
    <w:lvl w:ilvl="4" w:tplc="4D423F64">
      <w:numFmt w:val="bullet"/>
      <w:lvlText w:val="•"/>
      <w:lvlJc w:val="left"/>
      <w:pPr>
        <w:ind w:left="6980" w:hanging="360"/>
      </w:pPr>
      <w:rPr>
        <w:rFonts w:hint="default"/>
        <w:lang w:val="en-US" w:eastAsia="en-US" w:bidi="en-US"/>
      </w:rPr>
    </w:lvl>
    <w:lvl w:ilvl="5" w:tplc="5838E9E4">
      <w:numFmt w:val="bullet"/>
      <w:lvlText w:val="•"/>
      <w:lvlJc w:val="left"/>
      <w:pPr>
        <w:ind w:left="7650" w:hanging="360"/>
      </w:pPr>
      <w:rPr>
        <w:rFonts w:hint="default"/>
        <w:lang w:val="en-US" w:eastAsia="en-US" w:bidi="en-US"/>
      </w:rPr>
    </w:lvl>
    <w:lvl w:ilvl="6" w:tplc="5B36BCE6">
      <w:numFmt w:val="bullet"/>
      <w:lvlText w:val="•"/>
      <w:lvlJc w:val="left"/>
      <w:pPr>
        <w:ind w:left="8320" w:hanging="360"/>
      </w:pPr>
      <w:rPr>
        <w:rFonts w:hint="default"/>
        <w:lang w:val="en-US" w:eastAsia="en-US" w:bidi="en-US"/>
      </w:rPr>
    </w:lvl>
    <w:lvl w:ilvl="7" w:tplc="585E9142">
      <w:numFmt w:val="bullet"/>
      <w:lvlText w:val="•"/>
      <w:lvlJc w:val="left"/>
      <w:pPr>
        <w:ind w:left="8990" w:hanging="360"/>
      </w:pPr>
      <w:rPr>
        <w:rFonts w:hint="default"/>
        <w:lang w:val="en-US" w:eastAsia="en-US" w:bidi="en-US"/>
      </w:rPr>
    </w:lvl>
    <w:lvl w:ilvl="8" w:tplc="3B3E31E4">
      <w:numFmt w:val="bullet"/>
      <w:lvlText w:val="•"/>
      <w:lvlJc w:val="left"/>
      <w:pPr>
        <w:ind w:left="9660" w:hanging="360"/>
      </w:pPr>
      <w:rPr>
        <w:rFonts w:hint="default"/>
        <w:lang w:val="en-US" w:eastAsia="en-US" w:bidi="en-US"/>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2E"/>
    <w:rsid w:val="003A305D"/>
    <w:rsid w:val="004C03C0"/>
    <w:rsid w:val="0057142E"/>
    <w:rsid w:val="005F3E05"/>
    <w:rsid w:val="006A5621"/>
    <w:rsid w:val="007F5A34"/>
    <w:rsid w:val="009D347B"/>
    <w:rsid w:val="00AF1E00"/>
    <w:rsid w:val="00B51DB4"/>
    <w:rsid w:val="00BE628E"/>
    <w:rsid w:val="00E002F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qFormat/>
    <w:rsid w:val="00AF1E00"/>
    <w:pPr>
      <w:keepNext/>
      <w:jc w:val="center"/>
      <w:outlineLvl w:val="0"/>
    </w:pPr>
    <w:rPr>
      <w:rFonts w:ascii="Times New Roman" w:eastAsia="Times New Roman" w:hAnsi="Times New Roman" w:cs="Times New Roman"/>
      <w:b/>
      <w:bCs/>
      <w:sz w:val="32"/>
      <w:u w:val="single"/>
    </w:rPr>
  </w:style>
  <w:style w:type="paragraph" w:styleId="Heading2">
    <w:name w:val="heading 2"/>
    <w:basedOn w:val="Normal"/>
    <w:next w:val="Normal"/>
    <w:link w:val="Heading2Char"/>
    <w:qFormat/>
    <w:rsid w:val="00AF1E00"/>
    <w:pPr>
      <w:keepNext/>
      <w:jc w:val="center"/>
      <w:outlineLvl w:val="1"/>
    </w:pPr>
    <w:rPr>
      <w:rFonts w:ascii="Times New Roman" w:eastAsia="Times New Roman" w:hAnsi="Times New Roman" w:cs="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419"/>
        <w:tab w:val="right" w:pos="8838"/>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419"/>
        <w:tab w:val="right" w:pos="8838"/>
      </w:tabs>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rsid w:val="00AF1E00"/>
    <w:rPr>
      <w:rFonts w:ascii="Times New Roman" w:eastAsia="Times New Roman" w:hAnsi="Times New Roman" w:cs="Times New Roman"/>
      <w:b/>
      <w:bCs/>
      <w:sz w:val="32"/>
      <w:u w:val="single"/>
      <w:lang w:val="en-US"/>
    </w:rPr>
  </w:style>
  <w:style w:type="character" w:customStyle="1" w:styleId="Heading2Char">
    <w:name w:val="Heading 2 Char"/>
    <w:basedOn w:val="DefaultParagraphFont"/>
    <w:link w:val="Heading2"/>
    <w:rsid w:val="00AF1E00"/>
    <w:rPr>
      <w:rFonts w:ascii="Times New Roman" w:eastAsia="Times New Roman" w:hAnsi="Times New Roman" w:cs="Times New Roman"/>
      <w:b/>
      <w:bCs/>
      <w:sz w:val="32"/>
      <w:lang w:val="en-US"/>
    </w:rPr>
  </w:style>
  <w:style w:type="paragraph" w:styleId="BodyText">
    <w:name w:val="Body Text"/>
    <w:basedOn w:val="Normal"/>
    <w:link w:val="BodyTextChar"/>
    <w:uiPriority w:val="1"/>
    <w:qFormat/>
    <w:rsid w:val="00B51DB4"/>
    <w:pPr>
      <w:widowControl w:val="0"/>
      <w:autoSpaceDE w:val="0"/>
      <w:autoSpaceDN w:val="0"/>
    </w:pPr>
    <w:rPr>
      <w:rFonts w:ascii="Arial" w:eastAsia="Arial" w:hAnsi="Arial" w:cs="Arial"/>
      <w:sz w:val="28"/>
      <w:szCs w:val="28"/>
      <w:lang w:bidi="en-US"/>
    </w:rPr>
  </w:style>
  <w:style w:type="character" w:customStyle="1" w:styleId="BodyTextChar">
    <w:name w:val="Body Text Char"/>
    <w:basedOn w:val="DefaultParagraphFont"/>
    <w:link w:val="BodyText"/>
    <w:uiPriority w:val="1"/>
    <w:rsid w:val="00B51DB4"/>
    <w:rPr>
      <w:rFonts w:ascii="Arial" w:eastAsia="Arial" w:hAnsi="Arial" w:cs="Arial"/>
      <w:sz w:val="28"/>
      <w:szCs w:val="28"/>
      <w:lang w:val="en-US" w:bidi="en-US"/>
    </w:rPr>
  </w:style>
  <w:style w:type="paragraph" w:styleId="ListParagraph">
    <w:name w:val="List Paragraph"/>
    <w:basedOn w:val="Normal"/>
    <w:uiPriority w:val="1"/>
    <w:qFormat/>
    <w:rsid w:val="00B51DB4"/>
    <w:pPr>
      <w:widowControl w:val="0"/>
      <w:autoSpaceDE w:val="0"/>
      <w:autoSpaceDN w:val="0"/>
      <w:ind w:left="828" w:hanging="708"/>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03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8F5A7-3092-41F6-A6F8-641D4BE2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2121</Characters>
  <Application>Microsoft Office Word</Application>
  <DocSecurity>4</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Nicolina Alves</cp:lastModifiedBy>
  <cp:revision>2</cp:revision>
  <dcterms:created xsi:type="dcterms:W3CDTF">2024-10-12T00:56:00Z</dcterms:created>
  <dcterms:modified xsi:type="dcterms:W3CDTF">2024-10-12T00:56:00Z</dcterms:modified>
</cp:coreProperties>
</file>